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E8" w:rsidRDefault="008940E8">
      <w:pPr>
        <w:pStyle w:val="newncpi0"/>
        <w:jc w:val="center"/>
        <w:rPr>
          <w:color w:val="000000"/>
        </w:rPr>
      </w:pPr>
      <w:r>
        <w:rPr>
          <w:color w:val="000000"/>
        </w:rPr>
        <w:t> </w:t>
      </w:r>
    </w:p>
    <w:p w:rsidR="008940E8" w:rsidRDefault="008940E8">
      <w:pPr>
        <w:pStyle w:val="newncpi0"/>
        <w:jc w:val="center"/>
        <w:rPr>
          <w:color w:val="000000"/>
        </w:rPr>
      </w:pPr>
      <w:r>
        <w:rPr>
          <w:rStyle w:val="name"/>
          <w:color w:val="000000"/>
        </w:rPr>
        <w:t>РЕШЕНИЕ </w:t>
      </w:r>
      <w:r>
        <w:rPr>
          <w:rStyle w:val="promulgator"/>
          <w:color w:val="000000"/>
        </w:rPr>
        <w:t>ДУБРОВЕНСКОГО РАЙОННОГО ИСПОЛНИТЕЛЬНОГО КОМИТЕТА</w:t>
      </w:r>
    </w:p>
    <w:p w:rsidR="008940E8" w:rsidRDefault="008940E8">
      <w:pPr>
        <w:pStyle w:val="newncpi"/>
        <w:ind w:firstLine="0"/>
        <w:jc w:val="center"/>
        <w:rPr>
          <w:color w:val="000000"/>
        </w:rPr>
      </w:pPr>
      <w:r>
        <w:rPr>
          <w:rStyle w:val="datepr"/>
          <w:color w:val="000000"/>
        </w:rPr>
        <w:t>21 июня 2024 г.</w:t>
      </w:r>
      <w:r>
        <w:rPr>
          <w:rStyle w:val="number"/>
          <w:color w:val="000000"/>
        </w:rPr>
        <w:t xml:space="preserve"> № 395</w:t>
      </w:r>
    </w:p>
    <w:p w:rsidR="008940E8" w:rsidRDefault="008940E8">
      <w:pPr>
        <w:pStyle w:val="titlencpi"/>
        <w:rPr>
          <w:rFonts w:ascii="Arial" w:hAnsi="Arial" w:cs="Arial"/>
          <w:color w:val="000000"/>
        </w:rPr>
      </w:pPr>
      <w:r>
        <w:rPr>
          <w:rFonts w:ascii="Arial" w:hAnsi="Arial" w:cs="Arial"/>
          <w:color w:val="000080"/>
        </w:rPr>
        <w:t>Об организации похоронного дела на территории Дубровенского района</w:t>
      </w:r>
    </w:p>
    <w:p w:rsidR="008940E8" w:rsidRDefault="008940E8">
      <w:pPr>
        <w:pStyle w:val="preamble"/>
        <w:rPr>
          <w:color w:val="000000"/>
        </w:rPr>
      </w:pPr>
      <w:proofErr w:type="gramStart"/>
      <w:r>
        <w:rPr>
          <w:color w:val="000000"/>
        </w:rPr>
        <w:t>На основании абзаца двадцать четвертого статьи 1, части второй статьи 13, частей четвертой и десятой статьи 35 Закона Республики Беларусь от 12 ноября 2001 г. № 55-З «О погребении и похоронном деле», пунктов 9 и 15 Типовых правил по предоставлению и резервированию за плату участков для захоронения, мест в колумбарии, утвержденных постановлением Министерства жилищно-коммунального хозяйства Республики Беларусь от 15 июля 2021</w:t>
      </w:r>
      <w:proofErr w:type="gramEnd"/>
      <w:r>
        <w:rPr>
          <w:color w:val="000000"/>
        </w:rPr>
        <w:t> г. № 10, Дубровенский районный исполнительный комитет РЕШИЛ:</w:t>
      </w:r>
    </w:p>
    <w:p w:rsidR="008940E8" w:rsidRDefault="008940E8">
      <w:pPr>
        <w:pStyle w:val="point"/>
        <w:rPr>
          <w:color w:val="000000"/>
        </w:rPr>
      </w:pPr>
      <w:r>
        <w:rPr>
          <w:color w:val="000000"/>
        </w:rPr>
        <w:t>1. Возложить обязанности по обеспечению функционирования мест погребения, предоставлению земельных участков для погребения умерших, ведению государственного учета участков для захоронения на кладбищах, расположенных на территории:</w:t>
      </w:r>
    </w:p>
    <w:p w:rsidR="008940E8" w:rsidRDefault="008940E8">
      <w:pPr>
        <w:pStyle w:val="newncpi"/>
        <w:rPr>
          <w:color w:val="000000"/>
        </w:rPr>
      </w:pPr>
      <w:r>
        <w:rPr>
          <w:color w:val="000000"/>
        </w:rPr>
        <w:t>города Дубровно, на унитарное предприятие жилищно-коммунального хозяйства «Дубровно-Коммунальник»;</w:t>
      </w:r>
    </w:p>
    <w:p w:rsidR="008940E8" w:rsidRDefault="008940E8">
      <w:pPr>
        <w:pStyle w:val="newncpi"/>
        <w:rPr>
          <w:color w:val="000000"/>
        </w:rPr>
      </w:pPr>
      <w:r>
        <w:rPr>
          <w:color w:val="000000"/>
        </w:rPr>
        <w:t>сельсоветов, на сельские исполнительные комитеты.</w:t>
      </w:r>
    </w:p>
    <w:p w:rsidR="008940E8" w:rsidRDefault="008940E8">
      <w:pPr>
        <w:pStyle w:val="point"/>
        <w:rPr>
          <w:color w:val="000000"/>
        </w:rPr>
      </w:pPr>
      <w:r>
        <w:rPr>
          <w:color w:val="000000"/>
        </w:rPr>
        <w:t xml:space="preserve">2. Определить унитарное предприятие жилищно-коммунального хозяйства «Дубровно-Коммунальник» специализированной организацией на территории Дубровенского района </w:t>
      </w:r>
      <w:proofErr w:type="gramStart"/>
      <w:r>
        <w:rPr>
          <w:color w:val="000000"/>
        </w:rPr>
        <w:t>по</w:t>
      </w:r>
      <w:proofErr w:type="gramEnd"/>
      <w:r>
        <w:rPr>
          <w:color w:val="000000"/>
        </w:rPr>
        <w:t>:</w:t>
      </w:r>
    </w:p>
    <w:p w:rsidR="008940E8" w:rsidRDefault="008940E8">
      <w:pPr>
        <w:pStyle w:val="newncpi"/>
        <w:rPr>
          <w:color w:val="000000"/>
        </w:rPr>
      </w:pPr>
      <w:r>
        <w:rPr>
          <w:color w:val="000000"/>
        </w:rPr>
        <w:t>оказанию услуг в области похоронного дела;</w:t>
      </w:r>
    </w:p>
    <w:p w:rsidR="008940E8" w:rsidRDefault="008940E8">
      <w:pPr>
        <w:pStyle w:val="newncpi"/>
        <w:rPr>
          <w:color w:val="000000"/>
        </w:rPr>
      </w:pPr>
      <w:r>
        <w:rPr>
          <w:color w:val="000000"/>
        </w:rPr>
        <w:t>осуществлению погребения умерших, личность которых не установлена, и умерших при отсутствии лиц, взявших на себя организацию погребения;</w:t>
      </w:r>
    </w:p>
    <w:p w:rsidR="008940E8" w:rsidRDefault="008940E8">
      <w:pPr>
        <w:pStyle w:val="newncpi"/>
        <w:rPr>
          <w:color w:val="000000"/>
        </w:rPr>
      </w:pPr>
      <w:r>
        <w:rPr>
          <w:color w:val="000000"/>
        </w:rPr>
        <w:t>содержанию и благоустройству мест погребения.</w:t>
      </w:r>
    </w:p>
    <w:p w:rsidR="008940E8" w:rsidRDefault="008940E8">
      <w:pPr>
        <w:pStyle w:val="point"/>
        <w:rPr>
          <w:color w:val="000000"/>
        </w:rPr>
      </w:pPr>
      <w:r>
        <w:rPr>
          <w:color w:val="000000"/>
        </w:rPr>
        <w:t>3. Установить:</w:t>
      </w:r>
    </w:p>
    <w:p w:rsidR="008940E8" w:rsidRDefault="008940E8">
      <w:pPr>
        <w:pStyle w:val="underpoint"/>
        <w:rPr>
          <w:color w:val="000000"/>
        </w:rPr>
      </w:pPr>
      <w:r>
        <w:rPr>
          <w:color w:val="000000"/>
        </w:rPr>
        <w:t>3.1. размеры участков для захоронения, предоставляемых на безвозмездной основе:</w:t>
      </w:r>
    </w:p>
    <w:p w:rsidR="008940E8" w:rsidRDefault="008940E8">
      <w:pPr>
        <w:pStyle w:val="newncpi"/>
        <w:rPr>
          <w:color w:val="000000"/>
        </w:rPr>
      </w:pPr>
      <w:r>
        <w:rPr>
          <w:color w:val="000000"/>
        </w:rPr>
        <w:t>2,3 метра в длину и 2,5 метра в ширину – для двухместного захоронения;</w:t>
      </w:r>
    </w:p>
    <w:p w:rsidR="008940E8" w:rsidRDefault="008940E8">
      <w:pPr>
        <w:pStyle w:val="newncpi"/>
        <w:rPr>
          <w:color w:val="000000"/>
        </w:rPr>
      </w:pPr>
      <w:r>
        <w:rPr>
          <w:color w:val="000000"/>
        </w:rPr>
        <w:t>2,3 метра в длину и 1,5 метра в ширину – для одноместного захоронения;</w:t>
      </w:r>
    </w:p>
    <w:p w:rsidR="008940E8" w:rsidRDefault="008940E8">
      <w:pPr>
        <w:pStyle w:val="underpoint"/>
        <w:rPr>
          <w:color w:val="000000"/>
        </w:rPr>
      </w:pPr>
      <w:r>
        <w:rPr>
          <w:color w:val="000000"/>
        </w:rPr>
        <w:t>3.2. максимальные размеры:</w:t>
      </w:r>
    </w:p>
    <w:p w:rsidR="008940E8" w:rsidRDefault="008940E8">
      <w:pPr>
        <w:pStyle w:val="newncpi"/>
        <w:rPr>
          <w:color w:val="000000"/>
        </w:rPr>
      </w:pPr>
      <w:r>
        <w:rPr>
          <w:color w:val="000000"/>
        </w:rPr>
        <w:t>участков для захоронения, предоставляемых за плату, – 2,3 метра в длину и 5 метров в ширину и общей площадью не более 11,5 квадратного метра;</w:t>
      </w:r>
    </w:p>
    <w:p w:rsidR="008940E8" w:rsidRDefault="008940E8">
      <w:pPr>
        <w:pStyle w:val="newncpi"/>
        <w:rPr>
          <w:color w:val="000000"/>
        </w:rPr>
      </w:pPr>
      <w:r>
        <w:rPr>
          <w:color w:val="000000"/>
        </w:rPr>
        <w:t>резервируемых участков для захоронения – 2,3 метра в длину и 4 метра в ширину и общей площадью не более 9,2 квадратного метра;</w:t>
      </w:r>
    </w:p>
    <w:p w:rsidR="008940E8" w:rsidRDefault="008940E8">
      <w:pPr>
        <w:pStyle w:val="newncpi"/>
        <w:rPr>
          <w:color w:val="000000"/>
        </w:rPr>
      </w:pPr>
      <w:r>
        <w:rPr>
          <w:color w:val="000000"/>
        </w:rPr>
        <w:t>участка, предусматривающего обустройство семейных (родовых) захоронений, на которых разрешается резервирование участка (участков) для захоронения сверх участка для захоронения, предоставляемого на безвозмездной основе, – не более 12,88 квадратного метра;</w:t>
      </w:r>
    </w:p>
    <w:p w:rsidR="008940E8" w:rsidRDefault="008940E8">
      <w:pPr>
        <w:pStyle w:val="underpoint"/>
        <w:rPr>
          <w:color w:val="000000"/>
        </w:rPr>
      </w:pPr>
      <w:r>
        <w:rPr>
          <w:color w:val="000000"/>
        </w:rPr>
        <w:t>3.3. плату:</w:t>
      </w:r>
    </w:p>
    <w:p w:rsidR="008940E8" w:rsidRDefault="008940E8">
      <w:pPr>
        <w:pStyle w:val="newncpi"/>
        <w:rPr>
          <w:color w:val="000000"/>
        </w:rPr>
      </w:pPr>
      <w:proofErr w:type="gramStart"/>
      <w:r>
        <w:rPr>
          <w:color w:val="000000"/>
        </w:rPr>
        <w:lastRenderedPageBreak/>
        <w:t>за резервирование участков для захоронения, за исключением резервирования участка в соответствии с абзацем третьим настоящего подпункта, а также за предоставление участков для захоронения в случаях, предусмотренных частью седьмой статьи 35 Закона Республики Беларусь «О погребении и похоронном деле», при отсутствии оснований для предоставления на безвозмездной основе участков для захоронения – 3 базовые величины за каждый квадратный метр;</w:t>
      </w:r>
      <w:proofErr w:type="gramEnd"/>
    </w:p>
    <w:p w:rsidR="008940E8" w:rsidRDefault="008940E8">
      <w:pPr>
        <w:pStyle w:val="newncpi"/>
        <w:rPr>
          <w:color w:val="000000"/>
        </w:rPr>
      </w:pPr>
      <w:bookmarkStart w:id="0" w:name="a1"/>
      <w:bookmarkEnd w:id="0"/>
      <w:r>
        <w:rPr>
          <w:color w:val="000000"/>
        </w:rPr>
        <w:t>за резервирование участка для захоронения, предусматривающего обустройство семейных (родовых) захоронений, – 2 базовые величины за каждый квадратный метр.</w:t>
      </w:r>
    </w:p>
    <w:p w:rsidR="008940E8" w:rsidRDefault="008940E8">
      <w:pPr>
        <w:pStyle w:val="point"/>
        <w:rPr>
          <w:color w:val="000000"/>
        </w:rPr>
      </w:pPr>
      <w:r>
        <w:rPr>
          <w:color w:val="000000"/>
        </w:rPr>
        <w:t>4. Установить, что:</w:t>
      </w:r>
    </w:p>
    <w:p w:rsidR="008940E8" w:rsidRDefault="008940E8">
      <w:pPr>
        <w:pStyle w:val="underpoint"/>
        <w:rPr>
          <w:color w:val="000000"/>
        </w:rPr>
      </w:pPr>
      <w:proofErr w:type="gramStart"/>
      <w:r>
        <w:rPr>
          <w:color w:val="000000"/>
        </w:rPr>
        <w:t>4.1. резервирование участков, а также предоставление участков для захоронения при отсутствии оснований для их предоставления на безвозмездной основе, в том числе предоставляемых в соответствии с волеизъявлением умершего либо пожеланием лиц, взявших на себя организацию погребения, а также превышающих установленные размеры участков для захоронения, предоставляемых на безвозмездной основе, осуществляется за плату разовым платежом:</w:t>
      </w:r>
      <w:proofErr w:type="gramEnd"/>
    </w:p>
    <w:p w:rsidR="008940E8" w:rsidRDefault="008940E8">
      <w:pPr>
        <w:pStyle w:val="newncpi"/>
        <w:rPr>
          <w:color w:val="000000"/>
        </w:rPr>
      </w:pPr>
      <w:r>
        <w:rPr>
          <w:color w:val="000000"/>
        </w:rPr>
        <w:t>на местах погребения, расположенных на территории города Дубровно, – по решению специализированной организации;</w:t>
      </w:r>
    </w:p>
    <w:p w:rsidR="008940E8" w:rsidRDefault="008940E8">
      <w:pPr>
        <w:pStyle w:val="newncpi"/>
        <w:rPr>
          <w:color w:val="000000"/>
        </w:rPr>
      </w:pPr>
      <w:r>
        <w:rPr>
          <w:color w:val="000000"/>
        </w:rPr>
        <w:t>на местах погребения, расположенных на территории сельских населенных пунктов Дубровенского района, – по решению сельских исполнительных комитетов.</w:t>
      </w:r>
    </w:p>
    <w:p w:rsidR="008940E8" w:rsidRDefault="008940E8">
      <w:pPr>
        <w:pStyle w:val="newncpi"/>
        <w:rPr>
          <w:color w:val="000000"/>
        </w:rPr>
      </w:pPr>
      <w:proofErr w:type="gramStart"/>
      <w:r>
        <w:rPr>
          <w:color w:val="000000"/>
        </w:rPr>
        <w:t>Рассмотрение вопросов по резервированию за плату участков для захоронения осуществляется комиссиями по резервированию за плату участков для захоронения, создаваемыми специализированной организацией, сельскими исполнительными комитетами, на основании письменного заявления физического лица, взявшего на себя организацию погребения умершего (погибшего), свидетельства о смерти или врачебного свидетельства о смерти (мертворождении);</w:t>
      </w:r>
      <w:proofErr w:type="gramEnd"/>
    </w:p>
    <w:p w:rsidR="008940E8" w:rsidRDefault="008940E8">
      <w:pPr>
        <w:pStyle w:val="underpoint"/>
        <w:rPr>
          <w:color w:val="000000"/>
        </w:rPr>
      </w:pPr>
      <w:r>
        <w:rPr>
          <w:color w:val="000000"/>
        </w:rPr>
        <w:t>4.2. количество (общая площадь) участков для захоронения, предоставляемых за плату, не должно превышать одной трети количества (общей площади) участков для захоронения, предоставляемых на безвозмездной основе.</w:t>
      </w:r>
    </w:p>
    <w:p w:rsidR="008940E8" w:rsidRDefault="008940E8">
      <w:pPr>
        <w:pStyle w:val="point"/>
        <w:rPr>
          <w:color w:val="000000"/>
        </w:rPr>
      </w:pPr>
      <w:r>
        <w:rPr>
          <w:color w:val="000000"/>
        </w:rPr>
        <w:t>5. </w:t>
      </w:r>
      <w:proofErr w:type="gramStart"/>
      <w:r>
        <w:rPr>
          <w:color w:val="000000"/>
        </w:rPr>
        <w:t>Контроль за</w:t>
      </w:r>
      <w:proofErr w:type="gramEnd"/>
      <w:r>
        <w:rPr>
          <w:color w:val="000000"/>
        </w:rPr>
        <w:t> выполнением настоящего решения возложить на заместителя председателя Дубровенского районного исполнительного комитета по направлению деятельности, председателей сельских исполнительных комитетов.</w:t>
      </w:r>
    </w:p>
    <w:p w:rsidR="008940E8" w:rsidRDefault="008940E8">
      <w:pPr>
        <w:pStyle w:val="point"/>
        <w:rPr>
          <w:color w:val="000000"/>
        </w:rPr>
      </w:pPr>
      <w:r>
        <w:rPr>
          <w:color w:val="000000"/>
        </w:rPr>
        <w:t>6. Настоящее решение вступает в силу после его официального опубликования.</w:t>
      </w:r>
    </w:p>
    <w:p w:rsidR="008940E8" w:rsidRDefault="008940E8">
      <w:pPr>
        <w:pStyle w:val="newncpi"/>
        <w:rPr>
          <w:color w:val="000000"/>
        </w:rPr>
      </w:pPr>
      <w:r>
        <w:rPr>
          <w:color w:val="000000"/>
        </w:rPr>
        <w:t> </w:t>
      </w:r>
    </w:p>
    <w:tbl>
      <w:tblPr>
        <w:tblW w:w="5000" w:type="pct"/>
        <w:tblCellMar>
          <w:left w:w="0" w:type="dxa"/>
          <w:right w:w="0" w:type="dxa"/>
        </w:tblCellMar>
        <w:tblLook w:val="04A0"/>
      </w:tblPr>
      <w:tblGrid>
        <w:gridCol w:w="5406"/>
        <w:gridCol w:w="5406"/>
      </w:tblGrid>
      <w:tr w:rsidR="008940E8">
        <w:tc>
          <w:tcPr>
            <w:tcW w:w="2500" w:type="pct"/>
            <w:tcBorders>
              <w:top w:val="nil"/>
              <w:left w:val="nil"/>
              <w:bottom w:val="nil"/>
              <w:right w:val="nil"/>
            </w:tcBorders>
            <w:shd w:val="clear" w:color="auto" w:fill="auto"/>
            <w:tcMar>
              <w:top w:w="0" w:type="dxa"/>
              <w:left w:w="6" w:type="dxa"/>
              <w:bottom w:w="0" w:type="dxa"/>
              <w:right w:w="6" w:type="dxa"/>
            </w:tcMar>
            <w:vAlign w:val="bottom"/>
            <w:hideMark/>
          </w:tcPr>
          <w:p w:rsidR="008940E8" w:rsidRDefault="008940E8">
            <w:pPr>
              <w:pStyle w:val="newncpi0"/>
              <w:jc w:val="left"/>
              <w:rPr>
                <w:color w:val="000000"/>
              </w:rPr>
            </w:pPr>
            <w:r>
              <w:rPr>
                <w:rStyle w:val="post"/>
                <w:color w:val="000000"/>
              </w:rPr>
              <w:t>Председатель</w:t>
            </w:r>
          </w:p>
        </w:tc>
        <w:tc>
          <w:tcPr>
            <w:tcW w:w="2500" w:type="pct"/>
            <w:tcBorders>
              <w:top w:val="nil"/>
              <w:left w:val="nil"/>
              <w:bottom w:val="nil"/>
              <w:right w:val="nil"/>
            </w:tcBorders>
            <w:shd w:val="clear" w:color="auto" w:fill="auto"/>
            <w:tcMar>
              <w:top w:w="0" w:type="dxa"/>
              <w:left w:w="6" w:type="dxa"/>
              <w:bottom w:w="0" w:type="dxa"/>
              <w:right w:w="6" w:type="dxa"/>
            </w:tcMar>
            <w:vAlign w:val="bottom"/>
            <w:hideMark/>
          </w:tcPr>
          <w:p w:rsidR="008940E8" w:rsidRDefault="008940E8">
            <w:pPr>
              <w:pStyle w:val="newncpi0"/>
              <w:jc w:val="right"/>
              <w:rPr>
                <w:color w:val="000000"/>
              </w:rPr>
            </w:pPr>
            <w:r>
              <w:rPr>
                <w:rStyle w:val="pers"/>
                <w:color w:val="000000"/>
              </w:rPr>
              <w:t>А.И.Лукашов</w:t>
            </w:r>
          </w:p>
        </w:tc>
      </w:tr>
    </w:tbl>
    <w:p w:rsidR="008940E8" w:rsidRDefault="008940E8">
      <w:pPr>
        <w:pStyle w:val="newncpi"/>
        <w:rPr>
          <w:color w:val="000000"/>
        </w:rPr>
      </w:pPr>
      <w:r>
        <w:rPr>
          <w:color w:val="000000"/>
        </w:rPr>
        <w:t> </w:t>
      </w:r>
    </w:p>
    <w:sectPr w:rsidR="008940E8" w:rsidSect="008940E8">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8940E8"/>
    <w:rsid w:val="000A5A5A"/>
    <w:rsid w:val="00894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940E8"/>
    <w:pPr>
      <w:spacing w:before="360" w:after="360" w:line="240" w:lineRule="auto"/>
      <w:ind w:right="2268"/>
    </w:pPr>
    <w:rPr>
      <w:rFonts w:ascii="Times New Roman" w:hAnsi="Times New Roman" w:cs="Times New Roman"/>
      <w:b/>
      <w:bCs/>
      <w:sz w:val="24"/>
      <w:szCs w:val="24"/>
    </w:rPr>
  </w:style>
  <w:style w:type="paragraph" w:customStyle="1" w:styleId="point">
    <w:name w:val="point"/>
    <w:basedOn w:val="a"/>
    <w:rsid w:val="008940E8"/>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8940E8"/>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rsid w:val="008940E8"/>
    <w:pPr>
      <w:spacing w:before="160" w:after="160" w:line="240" w:lineRule="auto"/>
      <w:ind w:firstLine="567"/>
      <w:jc w:val="both"/>
    </w:pPr>
    <w:rPr>
      <w:rFonts w:ascii="Times New Roman" w:hAnsi="Times New Roman" w:cs="Times New Roman"/>
      <w:sz w:val="24"/>
      <w:szCs w:val="24"/>
    </w:rPr>
  </w:style>
  <w:style w:type="paragraph" w:customStyle="1" w:styleId="newncpi">
    <w:name w:val="newncpi"/>
    <w:basedOn w:val="a"/>
    <w:rsid w:val="008940E8"/>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8940E8"/>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8940E8"/>
    <w:rPr>
      <w:rFonts w:ascii="Times New Roman" w:hAnsi="Times New Roman" w:cs="Times New Roman" w:hint="default"/>
      <w:b/>
      <w:bCs/>
      <w:caps/>
    </w:rPr>
  </w:style>
  <w:style w:type="character" w:customStyle="1" w:styleId="promulgator">
    <w:name w:val="promulgator"/>
    <w:basedOn w:val="a0"/>
    <w:rsid w:val="008940E8"/>
    <w:rPr>
      <w:rFonts w:ascii="Times New Roman" w:hAnsi="Times New Roman" w:cs="Times New Roman" w:hint="default"/>
      <w:b/>
      <w:bCs/>
      <w:caps/>
    </w:rPr>
  </w:style>
  <w:style w:type="character" w:customStyle="1" w:styleId="datepr">
    <w:name w:val="datepr"/>
    <w:basedOn w:val="a0"/>
    <w:rsid w:val="008940E8"/>
    <w:rPr>
      <w:rFonts w:ascii="Times New Roman" w:hAnsi="Times New Roman" w:cs="Times New Roman" w:hint="default"/>
      <w:i/>
      <w:iCs/>
    </w:rPr>
  </w:style>
  <w:style w:type="character" w:customStyle="1" w:styleId="number">
    <w:name w:val="number"/>
    <w:basedOn w:val="a0"/>
    <w:rsid w:val="008940E8"/>
    <w:rPr>
      <w:rFonts w:ascii="Times New Roman" w:hAnsi="Times New Roman" w:cs="Times New Roman" w:hint="default"/>
      <w:i/>
      <w:iCs/>
    </w:rPr>
  </w:style>
  <w:style w:type="character" w:customStyle="1" w:styleId="post">
    <w:name w:val="post"/>
    <w:basedOn w:val="a0"/>
    <w:rsid w:val="008940E8"/>
    <w:rPr>
      <w:rFonts w:ascii="Times New Roman" w:hAnsi="Times New Roman" w:cs="Times New Roman" w:hint="default"/>
      <w:b/>
      <w:bCs/>
      <w:i/>
      <w:iCs/>
      <w:sz w:val="22"/>
      <w:szCs w:val="22"/>
    </w:rPr>
  </w:style>
  <w:style w:type="character" w:customStyle="1" w:styleId="pers">
    <w:name w:val="pers"/>
    <w:basedOn w:val="a0"/>
    <w:rsid w:val="008940E8"/>
    <w:rPr>
      <w:rFonts w:ascii="Times New Roman" w:hAnsi="Times New Roman" w:cs="Times New Roman" w:hint="default"/>
      <w:b/>
      <w:bCs/>
      <w:i/>
      <w:iCs/>
      <w:sz w:val="22"/>
      <w:szCs w:val="22"/>
    </w:rPr>
  </w:style>
  <w:style w:type="character" w:styleId="a3">
    <w:name w:val="Strong"/>
    <w:basedOn w:val="a0"/>
    <w:uiPriority w:val="22"/>
    <w:qFormat/>
    <w:rsid w:val="000A5A5A"/>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3805</Characters>
  <Application>Microsoft Office Word</Application>
  <DocSecurity>0</DocSecurity>
  <Lines>31</Lines>
  <Paragraphs>8</Paragraphs>
  <ScaleCrop>false</ScaleCrop>
  <Company>Krokoz™ Inc.</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2025-03-19T08:40:00Z</dcterms:created>
  <dcterms:modified xsi:type="dcterms:W3CDTF">2025-03-19T08:40:00Z</dcterms:modified>
</cp:coreProperties>
</file>