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1C" w:rsidRPr="004F611C" w:rsidRDefault="004F611C" w:rsidP="004F611C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b/>
          <w:bCs/>
          <w:caps/>
          <w:color w:val="000000"/>
          <w:sz w:val="27"/>
          <w:lang w:eastAsia="ru-RU"/>
        </w:rPr>
        <w:t>УКАЗ ПРЕЗИДЕНТА РЕСПУБЛИКИ БЕЛАРУСЬ</w:t>
      </w:r>
    </w:p>
    <w:p w:rsidR="004F611C" w:rsidRPr="004F611C" w:rsidRDefault="004F611C" w:rsidP="004F611C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14 марта 2022 г. № 93</w:t>
      </w:r>
    </w:p>
    <w:p w:rsidR="004F611C" w:rsidRPr="004F611C" w:rsidRDefault="004F611C" w:rsidP="004F611C">
      <w:pPr>
        <w:spacing w:before="360" w:after="36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 дополнительных мерах по обеспечению стабильного функционирования экономики</w:t>
      </w:r>
    </w:p>
    <w:p w:rsidR="004F611C" w:rsidRPr="004F611C" w:rsidRDefault="004F611C" w:rsidP="004F6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(Извлечение)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 </w:t>
      </w:r>
      <w:hyperlink r:id="rId4" w:anchor="a991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статьей 79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Конституции Республики Беларусь и в целях создания условий для повышения внутренней устойчивости экономики, включая обеспечение макроэкономической стабильности, </w:t>
      </w:r>
      <w:r w:rsidRPr="004F611C">
        <w:rPr>
          <w:rFonts w:ascii="Times New Roman" w:eastAsia="Times New Roman" w:hAnsi="Times New Roman" w:cs="Times New Roman"/>
          <w:color w:val="000000"/>
          <w:spacing w:val="30"/>
          <w:sz w:val="27"/>
          <w:lang w:eastAsia="ru-RU"/>
        </w:rPr>
        <w:t>постановляю: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Установить, что: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 остатки средств инновационных фондов Брестского облисполкома и Минского горисполкома, образовавшиеся на 1 января 2022 г. и перечисленные в республиканский централизованный инновационный фонд в виде межбюджетных трансфертов согласно </w:t>
      </w:r>
      <w:hyperlink r:id="rId5" w:anchor="a13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подпункту 2.4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пункта 2 Указа Президента Республики Беларусь от 27 декабря 2021 г. № 514 «Об уточнении отдельных показателей республиканского бюджета на 2021 год», подлежат отражению в рамках исполнения республиканского и местных бюджетов</w:t>
      </w:r>
      <w:proofErr w:type="gram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 2022 году;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 допускается исполнение консолидированного бюджета Брестской области и бюджета г. Минска с превышением максимального размера дефицита (уменьшением минимального размера </w:t>
      </w:r>
      <w:proofErr w:type="spell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профицита</w:t>
      </w:r>
      <w:proofErr w:type="spell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установленного </w:t>
      </w:r>
      <w:hyperlink r:id="rId6" w:anchor="a1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Республики Беларусь от 31 декабря 2021 г. № 142-З «О республиканском бюджете на 2022 год», на сумму остатков средств местных инновационных фондов, перечисленных в 2022 году в республиканский централизованный инновационный фонд;</w:t>
      </w:r>
      <w:proofErr w:type="gramEnd"/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2.9. для финансирования текущего ремонта, строительства и реконструкции, а также капитального ремонта автомобильных дорог могут привлекаться кредитные ресурсы банков с последующим погашением их за счет средств республиканского дорожного фонда и (или) средств областных бюджетов (бюджета г. Минска) в объемах и на условиях, определенных 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 решениях Совета Министров Республики Беларусь (его Президиума), оформленных в виде постановлений Совета Министров Республики Беларусь;</w:t>
      </w:r>
      <w:proofErr w:type="gramEnd"/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a11"/>
      <w:bookmarkEnd w:id="0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2.10. в 2022 году Совет Министров Республики Беларусь (его Президиум) при принятии решений, оформленных в виде постановлений Совета Министров Республики Беларусь, вправе: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a22"/>
      <w:bookmarkEnd w:id="1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изменять сроки уплаты части прибыли (дохода), подлежащей перечислению в бюджет</w:t>
      </w:r>
      <w:hyperlink r:id="rId7" w:anchor="a1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**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для отдельных хозяйственных обществ, общими собраниями участников которых принято решение о выплате дивидендов по итогам года, по результатам работы за 2021 год;</w:t>
      </w:r>
    </w:p>
    <w:p w:rsidR="004F611C" w:rsidRPr="004F611C" w:rsidRDefault="004F611C" w:rsidP="004F611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11C" w:rsidRPr="004F611C" w:rsidRDefault="004F611C" w:rsidP="004F611C">
      <w:pPr>
        <w:shd w:val="clear" w:color="auto" w:fill="F4F4F4"/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редакции «</w:t>
      </w:r>
      <w:proofErr w:type="spellStart"/>
      <w:r w:rsidRPr="004F6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Бизнес-Инфо</w:t>
      </w:r>
      <w:proofErr w:type="spellEnd"/>
      <w:r w:rsidRPr="004F6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4F611C" w:rsidRPr="004F611C" w:rsidRDefault="004F611C" w:rsidP="004F611C">
      <w:pPr>
        <w:shd w:val="clear" w:color="auto" w:fill="F4F4F4"/>
        <w:spacing w:before="160" w:after="1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611C">
        <w:rPr>
          <w:rFonts w:ascii="Times New Roman" w:eastAsia="Times New Roman" w:hAnsi="Times New Roman" w:cs="Times New Roman"/>
          <w:lang w:eastAsia="ru-RU"/>
        </w:rPr>
        <w:t>Перечень хозяйственных обществ, часть прибыли (дохода) которых по результатам работы за 2021 год подлежит перечислению в бюджет, и сроки уплаты установлены </w:t>
      </w:r>
      <w:hyperlink r:id="rId8" w:anchor="a3" w:tooltip="+" w:history="1">
        <w:r w:rsidRPr="004F611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постановлением</w:t>
        </w:r>
      </w:hyperlink>
      <w:r w:rsidRPr="004F611C">
        <w:rPr>
          <w:rFonts w:ascii="Times New Roman" w:eastAsia="Times New Roman" w:hAnsi="Times New Roman" w:cs="Times New Roman"/>
          <w:lang w:eastAsia="ru-RU"/>
        </w:rPr>
        <w:t> Совмина от 20.04.2022 № 233.</w:t>
      </w:r>
    </w:p>
    <w:p w:rsidR="004F611C" w:rsidRPr="004F611C" w:rsidRDefault="004F611C" w:rsidP="004F611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11C" w:rsidRPr="004F611C" w:rsidRDefault="004F611C" w:rsidP="004F6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4F611C" w:rsidRPr="004F611C" w:rsidRDefault="004F611C" w:rsidP="004F611C">
      <w:pPr>
        <w:spacing w:before="16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a1"/>
      <w:bookmarkEnd w:id="2"/>
      <w:proofErr w:type="gramStart"/>
      <w:r w:rsidRPr="004F61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 В соответствии с </w:t>
      </w:r>
      <w:hyperlink r:id="rId9" w:anchor="a8" w:tooltip="+" w:history="1">
        <w:r w:rsidRPr="004F611C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Указом</w:t>
        </w:r>
      </w:hyperlink>
      <w:r w:rsidRPr="004F61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Президента Республики Беларусь от 28 декабря 2005 г. № 637 «О порядке исчисления в бюджет части прибыли государственных унитарных предприятий, государственных объединений, являющихся коммерческими организациями, а также доходов от находящихся в республиканской и коммунальной собственности акций (долей в уставных фондах) хозяйственных обществ и об образовании государственного целевого бюджетного фонда национального развития».</w:t>
      </w:r>
      <w:proofErr w:type="gramEnd"/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направления использования средств республиканского централизованного инновационного фонда и местных инновационных фондов, отличные от предусмотренных </w:t>
      </w:r>
      <w:hyperlink r:id="rId10" w:anchor="a3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Указом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Президента Республики Беларусь от 7 августа 2012 г. № 357 «О порядке формирования и использования средств инновационных фондов»;</w:t>
      </w:r>
      <w:proofErr w:type="gramEnd"/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заключать с Правительством и (или) банками Российской Федерации, Евразийским фондом стабилизации и развития соглашения о привлечении внешних государственных займов (государственных экспортных кредитов), а также соглашения и иные документы, предусматривающие изменение условий ранее заключенных с ними соглашений в части сумм, сроков, ставок и валюты исполнения обязательств, обслуживание и погашение которых осуществляется с привлечением средств республиканского бюджета.</w:t>
      </w:r>
      <w:proofErr w:type="gram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Выражение согласия Республики Беларусь на обязательность для нее указанных соглашений и иных документов осуществляется Советом Министров Республики Беларусь путем утверждения (принятия) в форме постановления;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особенности уплаты налога на добавленную стоимость и акцизов при реализации белорусских нефти и нефтепродуктов между организациями Республики Беларусь с последующей реализацией указанных нефти и нефтепродуктов за пределы Республики Беларусь;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нормативы отчислений в республиканский бюджет от доходов целевых бюджетных фондов;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a17"/>
      <w:bookmarkEnd w:id="3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вводить сбор за досрочное расторжение кредитных договоров, договоров займа (ссуды), иных аналогичных договоров, а также договоров аренды (финансовой аренды (лизинга), инициированное лицами из иностранных государств, совершающих недружественные действия</w:t>
      </w:r>
      <w:hyperlink r:id="rId11" w:anchor="a2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*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 отношении белорусских юридических и (или) физических лиц;</w:t>
      </w:r>
    </w:p>
    <w:p w:rsidR="004F611C" w:rsidRPr="004F611C" w:rsidRDefault="004F611C" w:rsidP="004F6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4F611C" w:rsidRPr="004F611C" w:rsidRDefault="004F611C" w:rsidP="004F611C">
      <w:pPr>
        <w:spacing w:before="16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" w:name="a2"/>
      <w:bookmarkEnd w:id="4"/>
      <w:r w:rsidRPr="004F61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Под лицами из иностранных государств, совершающих недружественные действия, понимаются иностранные лица, связанные с иностранными государствами, включенными в </w:t>
      </w:r>
      <w:hyperlink r:id="rId12" w:anchor="a1" w:tooltip="+" w:history="1">
        <w:r w:rsidRPr="004F611C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перечень</w:t>
        </w:r>
      </w:hyperlink>
      <w:r w:rsidRPr="004F61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иностранных государств, совершающих недружественные действия в отношении белорусских юридических и (или) физических лиц (в том </w:t>
      </w:r>
      <w:proofErr w:type="gramStart"/>
      <w:r w:rsidRPr="004F61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</w:t>
      </w:r>
      <w:proofErr w:type="gramEnd"/>
      <w:r w:rsidRPr="004F61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такие иностранные лица имеют гражданство этих государств, местом их регистрации, местом преимущественного ведения ими хозяйственной деятельности или местом преимущественного извлечения ими прибыли от деятельности являются эти государства), и лица, которые находятся под контролем указанных иностранных лиц, независимо от места их регистрации или места преимущественного ведения ими хозяйственной деятельности.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вводить и устанавливать размеры законной неустойки за досрочное расторжение кредитных договоров, договоров займа, безвозмездного пользования (ссуды), договоров аренды, в том числе финансовой аренды (лизинга), инициированное лицами из иностранных государств, совершающих недружественные действия в отношении белорусских юридических и (или) физических лиц;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" w:name="a23"/>
      <w:bookmarkEnd w:id="5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приостанавливать исполнение международных соглашений об </w:t>
      </w:r>
      <w:proofErr w:type="spell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избежании</w:t>
      </w:r>
      <w:proofErr w:type="spell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двойного налогообложения, заключенных Республикой Беларусь с государствами, включенными в </w:t>
      </w:r>
      <w:hyperlink r:id="rId13" w:anchor="a1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перечень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иностранных государств, совершающих недружественные действия в отношении белорусских юридических и (или) физических лиц;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изменять ставки: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" w:name="a18"/>
      <w:bookmarkEnd w:id="6"/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налога на доходы иностранных организаций, не осуществляющих деятельность в Республике Беларусь через постоянное представительство (далее – налог на доходы), по доходам, указанным в подпунктах </w:t>
      </w:r>
      <w:hyperlink r:id="rId14" w:anchor="a8106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1.2–1.4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5" w:anchor="a8095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1.11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пункта 1 статьи 189 Налогового кодекса Республики Беларусь, при возникновении обязательств по уплате налога на доход в отношении иностранных организаций, местом нахождения которых является государство, включенное в </w:t>
      </w:r>
      <w:hyperlink r:id="rId16" w:anchor="a1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перечень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иностранных государств, совершающих недружественные действия в</w:t>
      </w:r>
      <w:proofErr w:type="gram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отношении</w:t>
      </w:r>
      <w:proofErr w:type="gram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белорусских юридических и (или) физических лиц;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" w:name="a8"/>
      <w:bookmarkEnd w:id="7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консульского сбора в отношении объектов, установленных в абзацах </w:t>
      </w:r>
      <w:hyperlink r:id="rId17" w:anchor="a13553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восьмом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девятом статьи 276 Налогового кодекса Республики Беларусь, а также государственной пошлины в отношении объектов, установленных в подпунктах </w:t>
      </w:r>
      <w:hyperlink r:id="rId18" w:anchor="a13088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1.8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9" w:anchor="a13554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1.53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пункта 1 статьи 284 Налогового кодекса Республики Беларусь;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8" w:name="a13"/>
      <w:bookmarkEnd w:id="8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изменять </w:t>
      </w:r>
      <w:hyperlink r:id="rId20" w:anchor="a1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размер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отчислений, производимых резидентами Парка высоких технологий в соответствии с </w:t>
      </w:r>
      <w:hyperlink r:id="rId21" w:anchor="a216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абзацем третьим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пункта 17 Положения о Парке высоких технологий, утвержденного Декретом Президента Республики Беларусь от 22 сентября 2005 г. № 12;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изменять или дополнять совместно с Национальным банком установленные </w:t>
      </w:r>
      <w:hyperlink r:id="rId22" w:anchor="a1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Указом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Президента Республики Беларусь от 21 июня 2011 г. № 261 «О создании открытого акционерного общества «Банк развития Республики Беларусь» для ОАО «Банк развития Республики Беларусь» перечни задач, операций, а также целей и объектов использования временно свободных денежных средств;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утверждать совместно с Национальным банком порядок размещения временно свободных денежных средств ОАО «Банк развития Республики Беларусь» и их предельный размер без согласования с Президентом Республики Беларусь;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совместно с Национальным банком порядок предоставления ОАО «Банк развития Республики Беларусь» денежных сре</w:t>
      </w: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в ц</w:t>
      </w:r>
      <w:proofErr w:type="gram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елях обеспечения его стабильного функционирования в условиях финансовой неустойчивости без согласования с Президентом Республики Беларусь;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решения: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9" w:name="a14"/>
      <w:bookmarkEnd w:id="9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финансировании расходов республиканского бюджета сверх объемов, установленных </w:t>
      </w:r>
      <w:hyperlink r:id="rId23" w:anchor="a1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Республики Беларусь «О республиканском бюджете на 2022 год», в сумме до 300 млн. рублей;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изменении, в том числе в индивидуальном порядке, установленного законодательством срока уплаты налогов, сборов (пошлин), иных платежей в бюджет, пеней в виде отсрочки с единовременной уплатой суммы налогов, сборов (пошлин), иных платежей, пеней и (или) рассрочки с поэтапной уплатой суммы налогов, сборов (пошлин), иных платежей, пеней, налогового кредита с единовременной или поэтапной уплатой сумм данных платежей в период действия налогового</w:t>
      </w:r>
      <w:proofErr w:type="gram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кредита;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абзац двадцатый подпункта 2.10 пункта 2 –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 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установлении платы за предоставление гарантий Правительства Республики Беларусь по кредитам, выдаваемым банками Республики Беларусь, в размере, отличном от установленного в </w:t>
      </w:r>
      <w:hyperlink r:id="rId24" w:anchor="a136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пункте 3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статьи 13 Закона Республики Беларусь «О республиканском бюджете на 2022 год»;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предоставлении гарантий местных исполнительных и распорядительных органов без учета требований, предусмотренных в </w:t>
      </w:r>
      <w:hyperlink r:id="rId25" w:anchor="a135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пункте 9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статьи 21 Закона Республики Беларусь «О республиканском бюджете на 2022 год»;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0" w:name="a15"/>
      <w:bookmarkEnd w:id="10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уточнении объемов государственных капитальных вложений, а также перечней строек и объектов, в том числе в части включения в них новых объектов, в пределах общего объема финансирования, установленного </w:t>
      </w:r>
      <w:hyperlink r:id="rId26" w:anchor="a1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Указом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Президента Республики Беларусь от 26 января 2022 г. № 18 «Об утверждении Государственной инвестиционной программы на 2022 год»;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переносе приходящихся на 2022 год сроков исполнения обязательств по бюджетным ссудам (займам), по активам, приобретенным Министерством 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финансов или местными исполнительными и распорядительными органами по договорам уступки права (требования), исполненным гарантиям Правительства Республики Беларусь и местных исполнительных и распорядительных органов, установленных в решениях Президента Республики Беларусь, на срок до 5 лет;</w:t>
      </w:r>
      <w:proofErr w:type="gramEnd"/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1" w:name="a12"/>
      <w:bookmarkEnd w:id="11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установлении </w:t>
      </w:r>
      <w:hyperlink r:id="rId27" w:anchor="a1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размера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базовой арендной величины без учета требований </w:t>
      </w:r>
      <w:hyperlink r:id="rId28" w:anchor="a10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подпункта 2.1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пункта 2 Указа Президента Республики Беларусь от 29 марта 2012 г. № 150 «О некоторых вопросах аренды и безвозмездного пользования имуществом»;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сохранении государственной поддержки, оказанной по решениям Президента Республики Беларусь, при невыполнении условий ее предоставления;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продлении до 3 лет сроков и условий реализации инвестиционных проектов, осуществляемых в соответствии с решениями Президента Республики Беларусь;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размещении временно свободных денежных средств республиканского и местных бюджетов в банковские вклады (депозиты) без проведения депозитных аукционов, а также на срок свыше финансового года;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использовании международной технической помощи без согласования с Президентом Республики Беларусь;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изменении условий, включая определение лизингополучателей из числа бюджетных организаций, приобретения современной техники и оборудования по договорам финансовой аренды (лизинга), определенных </w:t>
      </w:r>
      <w:hyperlink r:id="rId29" w:anchor="a1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Указом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Президента Республики Беларусь от 2 апреля 2015 г. № 146 «О финансировании закупки современной техники и оборудования»;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изменении условий финансирования, определенных </w:t>
      </w:r>
      <w:hyperlink r:id="rId30" w:anchor="a5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Указом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Президента Республики Беларусь от 25 августа 2006 г. № 534 «О содействии развитию экспорта товаров (работ, услуг)»;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вносить изменения: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расходы республиканского бюджета по функциональной классификации в пределах утвержденного годового размера;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2" w:name="a24"/>
      <w:bookmarkEnd w:id="12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hyperlink r:id="rId31" w:anchor="a2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нормативы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отчислений от налоговых и неналоговых доходов в бюджеты разных уровней бюджетной системы Республики Беларусь, установленные в соответствии со статьями </w:t>
      </w:r>
      <w:hyperlink r:id="rId32" w:anchor="a68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28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33" w:anchor="a195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30–37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Бюджетного кодекса Республики Беларусь;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3" w:name="a3"/>
      <w:bookmarkEnd w:id="13"/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2.11. в случае, если в отношении Республики Беларусь приняты недружественные меры со стороны иностранных кредиторов, связанные с введением ограничительных мер, в том числе по проектам, реализуемым на территории Республики Беларусь с привлечением средств внешних государственных займов, сопровождающиеся приостановкой финансирования и реализации проекта и (или) отсутствием технической возможности 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проведения расчетов в иностранной валюте, Министерство финансов, банки-агенты и иные юридические лица вправе</w:t>
      </w:r>
      <w:proofErr w:type="gram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 решению Совета Министров Республики Беларусь (его Президиума), оформленному в виде </w:t>
      </w:r>
      <w:hyperlink r:id="rId34" w:anchor="a3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постановления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Совета Министров Республики Беларусь, осуществлять исполнение обязательств по таким займам, государственным ценным бумагам, размещенным на внешних финансовых рынках, в белорусских рублях.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Обязательства, указанные в </w:t>
      </w:r>
      <w:hyperlink r:id="rId35" w:anchor="a3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части первой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настоящего подпункта, исполненные в белорусских рублях, признаются исполненными надлежащим образом;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2.12. Министерство финансов вправе предоставлять резидентам Республики Беларусь дополнительно к отсрочке рассрочку до 2 лет оплаты за ценности, отпущенные в 2020 году из Государственного фонда драгоценных металлов и драгоценных камней Республики Беларусь для производственных нужд;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4" w:name="a19"/>
      <w:bookmarkEnd w:id="14"/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 запрещается отчуждение участниками (акционерами) юридических лиц Республики Беларусь, которые являются лицами из иностранных государств, совершающих недружественные действия в отношении белорусских юридических и (или) физических лиц, долей (акций) в уставных фондах таких юридических лиц по перечню, определяемому решением Совета Министров Республики Беларусь (его Президиума), оформленным в виде постановления Совета Министров Республики Беларусь.</w:t>
      </w:r>
      <w:proofErr w:type="gramEnd"/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Внести изменения в следующие указы Президента Республики Беларусь: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5" w:name="a4"/>
      <w:bookmarkEnd w:id="15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 в </w:t>
      </w:r>
      <w:hyperlink r:id="rId36" w:anchor="a5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Указе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Президента Республики Беларусь от 25 августа 2006 г. № 534: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6" w:name="a9"/>
      <w:bookmarkEnd w:id="16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части первой подпункта 4.1, подпункте 4.2 пункта 4, абзаце первом части первой пункта 9 слова «в 2021–2022 годах» исключить;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7" w:name="a10"/>
      <w:bookmarkEnd w:id="17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абзац третий подпункта 6.1 пункта 6 исключить;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8" w:name="a5"/>
      <w:bookmarkEnd w:id="18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 в </w:t>
      </w:r>
      <w:hyperlink r:id="rId37" w:anchor="a68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абзаце седьмом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части первой подпункта 1.3 пункта 1 Указа Президента Республики Беларусь от 21 июня 2011 г. № 261 слова «в 2021–2022 годах» исключить;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9" w:name="a6"/>
      <w:bookmarkEnd w:id="19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 в </w:t>
      </w:r>
      <w:hyperlink r:id="rId38" w:anchor="a5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пункте 1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Указа Президента Республики Беларусь от 12 мая 2020 г. № 159 «О пересчете стоимости активов и обязательств» слова «31 декабря 2022 г.» заменить словами «31 декабря 2025 г.».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 Освободить от налога на добавленную стоимость обороты по реализации </w:t>
      </w: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произведенных</w:t>
      </w:r>
      <w:proofErr w:type="gram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 Республике Беларусь: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продукции в виде мерных слитков из драгоценных металлов, изготовленных в соответствии с техническими условиями;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драгоценных камней (бриллиантов), не закрепленных в ювелирных и других бытовых изделиях, в ограненном виде в специальной упаковке, целостность которой не нарушена, при наличии сертификата (аттестата) или другого документа, выданного отечественным производителем бриллиантов, удостоверяющего качественные и весовые </w:t>
      </w: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характеристики на</w:t>
      </w:r>
      <w:proofErr w:type="gram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каждый камень. Допускается наличие в специальной индивидуальной упаковке нескольких драгоценных камней одинаковых качественных, цветовых и весовых характеристик.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совершения операций и расчетов с ценностями, указанными в настоящем пункте, определяется Советом Министров Республики Беларусь совместно с Национальным банком.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Рекомендовать ОАО «Банк развития Республики Беларусь», банкам Республики Беларусь не применять штрафные санкции по договорам, предусматривающим финансирование организаций в соответствии с </w:t>
      </w:r>
      <w:hyperlink r:id="rId39" w:anchor="a5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Указом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Президента Республики Беларусь от 25 августа 2006 г. № 534, в случае отсутствия подтверждения факта реализации товаров (работ, услуг) на экспорт при одновременном соблюдении следующих условий: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0" w:name="a20"/>
      <w:bookmarkEnd w:id="20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финансирование осуществлялось под экспортные контракты, заключенные с юридическими лицами, являющимися резидентами стран, в которых после его предоставления возникли обстоятельства непреодолимой силы, в том числе введено военное положение, приняты ограничения на осуществление торговли с Республикой Беларусь и другое;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уплата кредитополучателем процентов по экспортному кредиту (вознаграждения по договору факторинга) осуществлялась в размере сложившейся по ОАО «Банк развития Республики Беларусь», банкам Республики Беларусь за отчетный период средней процентной ставки по кредитам, предоставленным юридическим лицам соответственно в иностранной валюте или белорусских рублях.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 Министерству финансов: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12.1. передать в 2022 году за счет средств республиканского централизованного инновационного фонда 54 млн. рублей в виде межбюджетного трансферта в бюджет </w:t>
      </w: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Минска на финансирование строительства Минского метрополитена;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12.2. в процессе исполнения республиканского бюджета вносить изменения в доходы, расходы, дефицит (</w:t>
      </w:r>
      <w:proofErr w:type="spell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профицит</w:t>
      </w:r>
      <w:proofErr w:type="spell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и источники финансирования дефицита (направления использования </w:t>
      </w:r>
      <w:proofErr w:type="spell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профицита</w:t>
      </w:r>
      <w:proofErr w:type="spell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республиканского бюджета в соответствии с настоящим Указом.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13. 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 Совету Министров Республики Беларусь: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14.1. </w:t>
      </w:r>
      <w:r w:rsidRPr="004F61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служебного пользования</w:t>
      </w: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1" w:name="a16"/>
      <w:bookmarkEnd w:id="21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14.2. определить </w:t>
      </w:r>
      <w:hyperlink r:id="rId40" w:anchor="a1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перечень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иностранных государств, совершающих недружественные действия в отношении белорусских юридических и (или) физических лиц;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14.3. принять меры </w:t>
      </w: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консолидации в республиканском бюджете средств, в том числе части доходов местных бюджетов и целевых бюджетных фондов;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2" w:name="a21"/>
      <w:bookmarkEnd w:id="22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оптимизации и сокращению расходов республиканского </w:t>
      </w: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бюджета</w:t>
      </w:r>
      <w:proofErr w:type="gram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за счет уменьшения расходов на </w:t>
      </w:r>
      <w:proofErr w:type="spell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непервоочередные</w:t>
      </w:r>
      <w:proofErr w:type="spell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капитальные вложения (приобретение основных средств, капитальное строительство, реконструкция и капитальный ремонт);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14.4. учесть положения настоящего Указа при подготовке проекта нормативного правового акта об уточнении отдельных показателей республиканского бюджета на 2022 год.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 Облисполкомам и Минскому горисполкому принять меры по оптимизации и сокращению расходов консолидированных бюджетов областей, бюджета г. </w:t>
      </w: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Минска</w:t>
      </w:r>
      <w:proofErr w:type="gram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за счет уменьшения расходов на </w:t>
      </w:r>
      <w:proofErr w:type="spell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непервоочередные</w:t>
      </w:r>
      <w:proofErr w:type="spellEnd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капитальные вложения (приобретение основных средств, капитальное строительство, реконструкция и капитальный ремонт).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3" w:name="a25"/>
      <w:bookmarkEnd w:id="23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16. </w:t>
      </w:r>
      <w:proofErr w:type="gramStart"/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Наделить Совет Министров Республики Беларусь и Национальный банк правом определять порядок проведения юридическими лицами – резидентами операций, связанных с экспортом, импортом, отличный от установленного в </w:t>
      </w:r>
      <w:hyperlink r:id="rId41" w:anchor="a421" w:tooltip="+" w:history="1">
        <w:r w:rsidRPr="004F611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 19</w:t>
        </w:r>
      </w:hyperlink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Закона Республики Беларусь от 22 июля 2003 г. № 226-З «О валютном регулировании и валютном контроле», а также в исключительных случаях порядок проведения иных валютных операций.</w:t>
      </w:r>
      <w:proofErr w:type="gramEnd"/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 По решению Премьер-министра Республики Беларусь, Первого заместителя Премьер-министра Республики Беларусь подготовка проектов важнейших правовых актов в сфере экономики, принятие (издание) которых не терпит отлагательств, и их направление Президенту Республики Беларусь могут осуществляться без учета требований к подготовке проектов правовых актов, предусмотренных законодательными актами.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 Настоящий Указ вступает в силу со дня его подписания.</w:t>
      </w:r>
    </w:p>
    <w:p w:rsidR="004F611C" w:rsidRPr="004F611C" w:rsidRDefault="004F611C" w:rsidP="004F611C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23"/>
        <w:gridCol w:w="4744"/>
      </w:tblGrid>
      <w:tr w:rsidR="004F611C" w:rsidRPr="004F611C" w:rsidTr="004F611C">
        <w:tc>
          <w:tcPr>
            <w:tcW w:w="13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611C" w:rsidRPr="004F611C" w:rsidRDefault="004F611C" w:rsidP="004F611C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Президент Республики Беларусь</w:t>
            </w:r>
          </w:p>
          <w:p w:rsidR="004F611C" w:rsidRPr="004F611C" w:rsidRDefault="004F611C" w:rsidP="004F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61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611C" w:rsidRPr="004F611C" w:rsidRDefault="004F611C" w:rsidP="004F611C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А.Лукашенко</w:t>
            </w:r>
          </w:p>
          <w:p w:rsidR="004F611C" w:rsidRPr="004F611C" w:rsidRDefault="004F611C" w:rsidP="004F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61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4F611C" w:rsidRPr="004F611C" w:rsidRDefault="004F611C" w:rsidP="004F611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A7F" w:rsidRDefault="00AB3A7F"/>
    <w:sectPr w:rsidR="00AB3A7F" w:rsidSect="00AB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11C"/>
    <w:rsid w:val="0017789A"/>
    <w:rsid w:val="004F611C"/>
    <w:rsid w:val="00925C25"/>
    <w:rsid w:val="00AB3A7F"/>
    <w:rsid w:val="00FE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F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F611C"/>
  </w:style>
  <w:style w:type="character" w:customStyle="1" w:styleId="promulgator">
    <w:name w:val="promulgator"/>
    <w:basedOn w:val="a0"/>
    <w:rsid w:val="004F611C"/>
  </w:style>
  <w:style w:type="paragraph" w:customStyle="1" w:styleId="newncpi">
    <w:name w:val="newncpi"/>
    <w:basedOn w:val="a"/>
    <w:rsid w:val="004F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F611C"/>
  </w:style>
  <w:style w:type="character" w:customStyle="1" w:styleId="number">
    <w:name w:val="number"/>
    <w:basedOn w:val="a0"/>
    <w:rsid w:val="004F611C"/>
  </w:style>
  <w:style w:type="paragraph" w:customStyle="1" w:styleId="titlencpi">
    <w:name w:val="titlencpi"/>
    <w:basedOn w:val="a"/>
    <w:rsid w:val="004F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zvlechen">
    <w:name w:val="izvlechen"/>
    <w:basedOn w:val="a"/>
    <w:rsid w:val="004F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F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611C"/>
    <w:rPr>
      <w:color w:val="0000FF"/>
      <w:u w:val="single"/>
    </w:rPr>
  </w:style>
  <w:style w:type="character" w:customStyle="1" w:styleId="razr">
    <w:name w:val="razr"/>
    <w:basedOn w:val="a0"/>
    <w:rsid w:val="004F611C"/>
  </w:style>
  <w:style w:type="paragraph" w:customStyle="1" w:styleId="point">
    <w:name w:val="point"/>
    <w:basedOn w:val="a"/>
    <w:rsid w:val="004F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F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4F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F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4F611C"/>
  </w:style>
  <w:style w:type="character" w:customStyle="1" w:styleId="pers">
    <w:name w:val="pers"/>
    <w:basedOn w:val="a0"/>
    <w:rsid w:val="004F6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557870&amp;a=3" TargetMode="External"/><Relationship Id="rId13" Type="http://schemas.openxmlformats.org/officeDocument/2006/relationships/hyperlink" Target="https://bii.by/tx.dll?d=551636&amp;a=1" TargetMode="External"/><Relationship Id="rId18" Type="http://schemas.openxmlformats.org/officeDocument/2006/relationships/hyperlink" Target="https://bii.by/tx.dll?d=177636&amp;a=13088" TargetMode="External"/><Relationship Id="rId26" Type="http://schemas.openxmlformats.org/officeDocument/2006/relationships/hyperlink" Target="https://bii.by/tx.dll?d=476461&amp;a=1" TargetMode="External"/><Relationship Id="rId39" Type="http://schemas.openxmlformats.org/officeDocument/2006/relationships/hyperlink" Target="https://bii.by/tx.dll?d=89986&amp;a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i.by/tx.dll?d=81114&amp;a=216" TargetMode="External"/><Relationship Id="rId34" Type="http://schemas.openxmlformats.org/officeDocument/2006/relationships/hyperlink" Target="https://bii.by/tx.dll?d=551637&amp;a=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ii.by/tx.dll?d=482026&amp;pr=1&amp;w=1" TargetMode="External"/><Relationship Id="rId12" Type="http://schemas.openxmlformats.org/officeDocument/2006/relationships/hyperlink" Target="https://bii.by/tx.dll?d=551636&amp;a=1" TargetMode="External"/><Relationship Id="rId17" Type="http://schemas.openxmlformats.org/officeDocument/2006/relationships/hyperlink" Target="https://bii.by/tx.dll?d=177636&amp;a=13553" TargetMode="External"/><Relationship Id="rId25" Type="http://schemas.openxmlformats.org/officeDocument/2006/relationships/hyperlink" Target="https://bii.by/tx.dll?d=474703&amp;a=135" TargetMode="External"/><Relationship Id="rId33" Type="http://schemas.openxmlformats.org/officeDocument/2006/relationships/hyperlink" Target="https://bii.by/tx.dll?d=137473&amp;a=195" TargetMode="External"/><Relationship Id="rId38" Type="http://schemas.openxmlformats.org/officeDocument/2006/relationships/hyperlink" Target="https://bii.by/tx.dll?d=429183&amp;a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i.by/tx.dll?d=551636&amp;a=1" TargetMode="External"/><Relationship Id="rId20" Type="http://schemas.openxmlformats.org/officeDocument/2006/relationships/hyperlink" Target="https://bii.by/tx.dll?d=543031&amp;a=1" TargetMode="External"/><Relationship Id="rId29" Type="http://schemas.openxmlformats.org/officeDocument/2006/relationships/hyperlink" Target="https://bii.by/tx.dll?d=299365&amp;a=1" TargetMode="External"/><Relationship Id="rId41" Type="http://schemas.openxmlformats.org/officeDocument/2006/relationships/hyperlink" Target="https://bii.by/tx.dll?d=63491&amp;a=421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tx.dll?d=474703&amp;a=1" TargetMode="External"/><Relationship Id="rId11" Type="http://schemas.openxmlformats.org/officeDocument/2006/relationships/hyperlink" Target="https://bii.by/tx.dll?d=482026&amp;pr=1&amp;w=1" TargetMode="External"/><Relationship Id="rId24" Type="http://schemas.openxmlformats.org/officeDocument/2006/relationships/hyperlink" Target="https://bii.by/tx.dll?d=474703&amp;a=136" TargetMode="External"/><Relationship Id="rId32" Type="http://schemas.openxmlformats.org/officeDocument/2006/relationships/hyperlink" Target="https://bii.by/tx.dll?d=137473&amp;a=68" TargetMode="External"/><Relationship Id="rId37" Type="http://schemas.openxmlformats.org/officeDocument/2006/relationships/hyperlink" Target="https://bii.by/tx.dll?d=215014&amp;a=68" TargetMode="External"/><Relationship Id="rId40" Type="http://schemas.openxmlformats.org/officeDocument/2006/relationships/hyperlink" Target="https://bii.by/tx.dll?d=551636&amp;a=1" TargetMode="External"/><Relationship Id="rId5" Type="http://schemas.openxmlformats.org/officeDocument/2006/relationships/hyperlink" Target="https://bii.by/tx.dll?d=474150&amp;a=13" TargetMode="External"/><Relationship Id="rId15" Type="http://schemas.openxmlformats.org/officeDocument/2006/relationships/hyperlink" Target="https://bii.by/tx.dll?d=177636&amp;a=8095" TargetMode="External"/><Relationship Id="rId23" Type="http://schemas.openxmlformats.org/officeDocument/2006/relationships/hyperlink" Target="https://bii.by/tx.dll?d=474703&amp;a=1" TargetMode="External"/><Relationship Id="rId28" Type="http://schemas.openxmlformats.org/officeDocument/2006/relationships/hyperlink" Target="https://bii.by/tx.dll?d=234898&amp;a=10" TargetMode="External"/><Relationship Id="rId36" Type="http://schemas.openxmlformats.org/officeDocument/2006/relationships/hyperlink" Target="https://bii.by/tx.dll?d=89986&amp;a=5" TargetMode="External"/><Relationship Id="rId10" Type="http://schemas.openxmlformats.org/officeDocument/2006/relationships/hyperlink" Target="https://bii.by/tx.dll?d=243762&amp;a=3" TargetMode="External"/><Relationship Id="rId19" Type="http://schemas.openxmlformats.org/officeDocument/2006/relationships/hyperlink" Target="https://bii.by/tx.dll?d=177636&amp;a=13554" TargetMode="External"/><Relationship Id="rId31" Type="http://schemas.openxmlformats.org/officeDocument/2006/relationships/hyperlink" Target="https://bii.by/tx.dll?d=567408&amp;a=2" TargetMode="External"/><Relationship Id="rId4" Type="http://schemas.openxmlformats.org/officeDocument/2006/relationships/hyperlink" Target="https://bii.by/tx.dll?d=32170&amp;a=991" TargetMode="External"/><Relationship Id="rId9" Type="http://schemas.openxmlformats.org/officeDocument/2006/relationships/hyperlink" Target="https://bii.by/tx.dll?d=84117&amp;a=8" TargetMode="External"/><Relationship Id="rId14" Type="http://schemas.openxmlformats.org/officeDocument/2006/relationships/hyperlink" Target="https://bii.by/tx.dll?d=177636&amp;a=8106" TargetMode="External"/><Relationship Id="rId22" Type="http://schemas.openxmlformats.org/officeDocument/2006/relationships/hyperlink" Target="https://bii.by/tx.dll?d=215014&amp;a=1" TargetMode="External"/><Relationship Id="rId27" Type="http://schemas.openxmlformats.org/officeDocument/2006/relationships/hyperlink" Target="https://bii.by/tx.dll?d=542946&amp;a=1" TargetMode="External"/><Relationship Id="rId30" Type="http://schemas.openxmlformats.org/officeDocument/2006/relationships/hyperlink" Target="https://bii.by/tx.dll?d=89986&amp;a=5" TargetMode="External"/><Relationship Id="rId35" Type="http://schemas.openxmlformats.org/officeDocument/2006/relationships/hyperlink" Target="https://bii.by/tx.dll?d=482026&amp;pr=1&amp;w=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3174</Words>
  <Characters>18098</Characters>
  <Application>Microsoft Office Word</Application>
  <DocSecurity>0</DocSecurity>
  <Lines>150</Lines>
  <Paragraphs>42</Paragraphs>
  <ScaleCrop>false</ScaleCrop>
  <Company>Krokoz™ Inc.</Company>
  <LinksUpToDate>false</LinksUpToDate>
  <CharactersWithSpaces>21230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2022-05-11T05:44:00Z</dcterms:created>
  <dcterms:modified xsi:type="dcterms:W3CDTF">2022-05-11T05:44:00Z</dcterms:modified>
</cp:coreProperties>
</file>